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5F7764" w:rsidRPr="005F7764" w:rsidRDefault="005F7764" w:rsidP="005F7764">
      <w:pPr>
        <w:jc w:val="center"/>
        <w:rPr>
          <w:b/>
          <w:color w:val="000000"/>
          <w:lang w:eastAsia="lt-LT"/>
        </w:rPr>
      </w:pPr>
      <w:r w:rsidRPr="005F7764">
        <w:rPr>
          <w:b/>
          <w:color w:val="000000"/>
          <w:lang w:eastAsia="lt-LT"/>
        </w:rPr>
        <w:t>KLAIPĖDOS LOPŠELIO-DARŽELIO ,,VĖRINĖLIS“</w:t>
      </w:r>
    </w:p>
    <w:p w:rsidR="005F7764" w:rsidRPr="005F7764" w:rsidRDefault="005F7764" w:rsidP="005F7764">
      <w:pPr>
        <w:jc w:val="center"/>
        <w:rPr>
          <w:b/>
          <w:color w:val="000000"/>
          <w:lang w:eastAsia="lt-LT"/>
        </w:rPr>
      </w:pPr>
      <w:r w:rsidRPr="005F7764">
        <w:rPr>
          <w:b/>
          <w:color w:val="000000"/>
          <w:lang w:eastAsia="lt-LT"/>
        </w:rPr>
        <w:t>2021 METŲ VEIKLOS ATASKAITA</w:t>
      </w:r>
    </w:p>
    <w:p w:rsidR="005F7764" w:rsidRPr="00397E31" w:rsidRDefault="005F7764" w:rsidP="005F7764">
      <w:pPr>
        <w:jc w:val="center"/>
        <w:rPr>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5F7764" w:rsidRPr="005F7764" w:rsidTr="00964E11">
        <w:tc>
          <w:tcPr>
            <w:tcW w:w="9775" w:type="dxa"/>
            <w:tcBorders>
              <w:top w:val="nil"/>
              <w:left w:val="nil"/>
              <w:bottom w:val="nil"/>
              <w:right w:val="nil"/>
            </w:tcBorders>
          </w:tcPr>
          <w:p w:rsidR="005F7764" w:rsidRPr="005F7764" w:rsidRDefault="005F7764" w:rsidP="005F7764">
            <w:pPr>
              <w:spacing w:line="256" w:lineRule="auto"/>
              <w:ind w:firstLine="570"/>
              <w:jc w:val="both"/>
            </w:pPr>
            <w:r w:rsidRPr="005F7764">
              <w:t>Klaipėdos lopšelis-darželis „Vėrinėlis“ (toliau – Įstaiga) įgyvendina ikimokyklinio ir priešmokyklinio ugdymo programas. 2021-09-01 duomenimis, Įstaigoje ugdyta 115 vaikų</w:t>
            </w:r>
            <w:r w:rsidRPr="005F7764">
              <w:rPr>
                <w:lang w:eastAsia="lt-LT"/>
              </w:rPr>
              <w:t>, suformuotos 1 lopšelio (15 vaikų), 3 ikimokyklinio ugdymo (60 vaikų) ir 2 priešmokyklinio ugdymo (40 vaikų) grupės. Užtikrintas nenutrūkstamas, patirtinis ikimokyklinis ugdymas. Įstaigoje dirbo 29 darbuotojai (iš viso 30,38 etato, iš jų 10,6 etatai pedagoginių ir 19,78 etato nepedagoginių pareigybių). Ikimokyklinio ugdymo programą ir neformaliojo švietimo programas įgyvendino 11 pedagogų</w:t>
            </w:r>
            <w:r w:rsidRPr="005F7764">
              <w:t>.</w:t>
            </w:r>
          </w:p>
          <w:p w:rsidR="005F7764" w:rsidRPr="005F7764" w:rsidRDefault="005F7764" w:rsidP="005F7764">
            <w:pPr>
              <w:spacing w:line="256" w:lineRule="auto"/>
              <w:ind w:firstLine="570"/>
              <w:jc w:val="both"/>
            </w:pPr>
            <w:r w:rsidRPr="005F7764">
              <w:t>Įstaiga veikė, vadovaudamasi 2021–2023 m. strateginiu planu (toliau – Strateginis planas) ir 2021 m. veiklos planu (toliau – Veiklos planas). Įstaigos bendruomenė 2021 m. išsikėlė šią prioritetinę veiklos kryptį: darnios, sveikos, saugios, etnokultūrines tradicijas turinčios ir besikeičiančios visuomenės ugdymo(si) reikalavimus atliepiančios aplinkos kūrimas. Strateginiame ir Veiklos planuose buvo numatyti konkretūs veiklos tikslai ir uždaviniai, priemonės laukiamam rezultatui pasiekti.</w:t>
            </w:r>
          </w:p>
          <w:p w:rsidR="005F7764" w:rsidRPr="005F7764" w:rsidRDefault="005F7764" w:rsidP="005F7764">
            <w:pPr>
              <w:spacing w:line="256" w:lineRule="auto"/>
              <w:ind w:firstLine="570"/>
              <w:jc w:val="both"/>
              <w:rPr>
                <w:strike/>
              </w:rPr>
            </w:pPr>
            <w:r w:rsidRPr="005F7764">
              <w:t xml:space="preserve">Siekiant Strateginio plano pirmojo tikslo – užtikrinti kokybišką ugdymo proceso organizavimą – Įstaigos veikla buvo orientuojama į galimybių sudarymą kiekvienam vaikui siekti asmeninės pažangos. Strateginiam tikslui pasiekti buvo vykdomi šie uždaviniai: </w:t>
            </w:r>
          </w:p>
          <w:p w:rsidR="005F7764" w:rsidRPr="005F7764" w:rsidRDefault="005F7764" w:rsidP="005F7764">
            <w:pPr>
              <w:numPr>
                <w:ilvl w:val="0"/>
                <w:numId w:val="1"/>
              </w:numPr>
              <w:tabs>
                <w:tab w:val="left" w:pos="853"/>
              </w:tabs>
              <w:spacing w:line="256" w:lineRule="auto"/>
              <w:ind w:left="34" w:firstLine="536"/>
              <w:contextualSpacing/>
              <w:jc w:val="both"/>
              <w:rPr>
                <w:lang w:eastAsia="lt-LT"/>
              </w:rPr>
            </w:pPr>
            <w:r w:rsidRPr="005F7764">
              <w:t>įgyvendinant pirmąjį uždavinį – s</w:t>
            </w:r>
            <w:r w:rsidRPr="005F7764">
              <w:rPr>
                <w:bCs/>
                <w:lang w:eastAsia="lt-LT"/>
              </w:rPr>
              <w:t xml:space="preserve">udaryti sąlygas ugdytis ir gerinti ugdymo proceso kokybę – </w:t>
            </w:r>
            <w:r w:rsidRPr="005F7764">
              <w:rPr>
                <w:lang w:eastAsia="lt-LT"/>
              </w:rPr>
              <w:t>buvo sudarytos galimybės siekti kokybiško ugdymo proceso užtikrinimo (115 ugdytinių), ikimokyklinio ir priešmokyklinio ugdymo programų įgyvendinimo, tikslingo gaunamų valstybės, savivaldybės, tėvų įmokų už paslaugas ir paramos lėšų panaudojimo. Planuojamos lėšos 30 įstaigos darbuotojų darbo užmokesčiui, socialiniam draudimui, Įstaigos pastato išlaikymui komunalinėms paslaugoms ir prekėms įsigyti. Sudarytos galimybės Įstaigos darbuotojams vidutiniškai 11 dienų per metus (66 val.) tobulinti kvalifikaciją ir 1 pedagogui atestuotis, vadovaujantis Švietimo skyriaus vedėjo patvirtinta Mokytojų ir pagalbos mokiniui specialistų atestacijos 2021</w:t>
            </w:r>
            <w:r w:rsidRPr="005F7764">
              <w:t>–</w:t>
            </w:r>
            <w:r w:rsidRPr="005F7764">
              <w:rPr>
                <w:lang w:eastAsia="lt-LT"/>
              </w:rPr>
              <w:t xml:space="preserve">2023 metų programa. </w:t>
            </w:r>
            <w:r w:rsidRPr="005F7764">
              <w:rPr>
                <w:shd w:val="clear" w:color="auto" w:fill="FFFFFF"/>
              </w:rPr>
              <w:t>Sudarytos sąlygos vaikų užimtumui, veiklos įvairovei, gebėjimų, interesų, saviraiškos poreikių tenkinimui. Ikimokyklinio ugdymo programą ir neformaliojo švietimo programas įgyvendino 9 pedagogai. Buvo įvykdyti 1 tarptautinis, 8 šalies, 5 miesto, 4 Įstaigos pažintiniai-kultūriniai projektai, organizuotos 3 teminės savaitės, 2 atviros veiklos, 12 tradicinių ir netradicinių renginių, kuriuose dalyvavo Įstaigos pedagogai, ugdytiniai ir jų tėvai. 2021 m. vaikai kartu su pedagogais dalyvavo 6 šalies parodose, 5 miesto konkursuose ir renginiuose, 2 akcijose. 2021 metais Įstaiga tapo Besimokančių darželių tinklo nare, mokytojos sėmėsi patirties iš Skandinavijos ir Europos šalių mokyklų, aktyviai dalyvavo šio tinklo renginiuose, seminaruose, konferencijose. Mokytojai sužinojo kaip organizuojamas ikimokyklinio ugdymas kitose pasaulio šalyse ir Lietuvoje, tai suteikė pasitikėjimo ir aukštos savivertės analizuojant savo veiklą bei įgyvendinant projektus savo įstaigoje;</w:t>
            </w:r>
          </w:p>
          <w:p w:rsidR="005F7764" w:rsidRPr="005F7764" w:rsidRDefault="005F7764" w:rsidP="005F7764">
            <w:pPr>
              <w:numPr>
                <w:ilvl w:val="0"/>
                <w:numId w:val="1"/>
              </w:numPr>
              <w:tabs>
                <w:tab w:val="left" w:pos="853"/>
              </w:tabs>
              <w:spacing w:line="256" w:lineRule="auto"/>
              <w:ind w:left="30" w:firstLine="570"/>
              <w:contextualSpacing/>
              <w:jc w:val="both"/>
              <w:rPr>
                <w:lang w:eastAsia="lt-LT"/>
              </w:rPr>
            </w:pPr>
            <w:r w:rsidRPr="005F7764">
              <w:rPr>
                <w:lang w:eastAsia="lt-LT"/>
              </w:rPr>
              <w:t xml:space="preserve">įgyvendinant antrąjį uždavinį </w:t>
            </w:r>
            <w:r w:rsidRPr="005F7764">
              <w:t>–</w:t>
            </w:r>
            <w:r w:rsidRPr="005F7764">
              <w:rPr>
                <w:lang w:eastAsia="lt-LT"/>
              </w:rPr>
              <w:t xml:space="preserve"> teikti papildomas paslaugas </w:t>
            </w:r>
            <w:r w:rsidRPr="005F7764">
              <w:t>–</w:t>
            </w:r>
            <w:r w:rsidRPr="005F7764">
              <w:rPr>
                <w:bCs/>
                <w:lang w:eastAsia="lt-LT"/>
              </w:rPr>
              <w:t xml:space="preserve"> </w:t>
            </w:r>
            <w:r w:rsidRPr="005F7764">
              <w:t>buvo sudarytos sąlygos Įstaigos vaikams teikti sveikatai palankų, šviežią, šiltą, vietoje pagamintą maistą. Visi ugdytiniai 3 kartus per dieną maitinti kokybišku maistu, taikant atnaujintus valgiaraščius.</w:t>
            </w:r>
            <w:r w:rsidRPr="005F7764">
              <w:rPr>
                <w:lang w:eastAsia="lt-LT"/>
              </w:rPr>
              <w:t xml:space="preserve"> 15 vaikų šeimoms taikyta 50 proc. atlyginimo už maitinimo paslaugas lengvata. Įstaiga dalyvavo Europos Sąjungos </w:t>
            </w:r>
            <w:r w:rsidRPr="005F7764">
              <w:rPr>
                <w:lang w:eastAsia="lt-LT"/>
              </w:rPr>
              <w:lastRenderedPageBreak/>
              <w:t>lėšomis finansuojamose programose „Pienas vaikams“ ir ,,Vaisių vartojimo skatinimas mokyklose“.</w:t>
            </w:r>
            <w:r w:rsidRPr="005F7764">
              <w:t xml:space="preserve"> Buvo teikiama kokybiška specialioji (logopedo) pagalba 30 Įstaigos ugdytinių, turinčių kalbos ir kalbėjimo sutrikimų. </w:t>
            </w:r>
          </w:p>
          <w:p w:rsidR="005F7764" w:rsidRPr="005F7764" w:rsidRDefault="005F7764" w:rsidP="005F7764">
            <w:pPr>
              <w:tabs>
                <w:tab w:val="left" w:pos="1985"/>
              </w:tabs>
              <w:spacing w:line="256" w:lineRule="auto"/>
              <w:ind w:firstLine="570"/>
              <w:contextualSpacing/>
              <w:jc w:val="both"/>
            </w:pPr>
            <w:r w:rsidRPr="005F7764">
              <w:t>Siekiant Strateginio plano antrojo tikslo – užtikrinti sveiką, saugią ir šiuolaikinius ugdymo(si) reikalavimus atliepiančią aplinką – įgyvendinimo, buvo numatytas uždavinys –</w:t>
            </w:r>
            <w:r w:rsidRPr="005F7764">
              <w:rPr>
                <w:bCs/>
                <w:lang w:eastAsia="lt-LT"/>
              </w:rPr>
              <w:t xml:space="preserve"> gerinti ugdymo(si) aplinką. Į</w:t>
            </w:r>
            <w:r w:rsidRPr="005F7764">
              <w:t>vykdyti kontroliuojančių institucijų nurodymai. Po UAB „Tuvlitos“ žaidimų aikštelių patikrinimo pagal Higienos normos reikalavimus, nustatytas dangos neatitikimas po žaidimų įrenginiais. 2021 m. buvo įrengta minkšta Grass danga žaidimų aikštelėje. Pakeista Įstaigos tvora, panaikinta nesaugi gyvatvorė. Užtikrinta estetiška, saugi ugdymosi aplinka, atnaujinti baldai, lauko įrengimai. Klaipėdos miesto savivaldybės administracijos Statybos leidimų ir statinių priežiūros skyriui inicijavus Įstaigos pastato techninį patikrinimą, dėl nustatytų trūkumų 2021 m. atlikti Įstaigos 2 grupių remonto darbai, pakeista elektros instaliacija 2 grupėse ir jų miegamuosiuose. Buvo įsigytos šiuolaikinius ugdymo(si) reikalavimus atliepiančios metodinės priemonės ir informacinės technologijos: 3 kompiuteriai, 1 garso įrengimas kompiuteriui, 1 vaizdo kamera. Atlikus šiuos darbus, pagerėjo Įstaigą lankančių vaikų ugdymo, darbuotojų darbo sąlygos.</w:t>
            </w:r>
          </w:p>
          <w:p w:rsidR="005F7764" w:rsidRPr="005F7764" w:rsidRDefault="005F7764" w:rsidP="005F7764">
            <w:pPr>
              <w:tabs>
                <w:tab w:val="left" w:pos="1985"/>
              </w:tabs>
              <w:spacing w:line="256" w:lineRule="auto"/>
              <w:ind w:left="2" w:firstLine="568"/>
              <w:contextualSpacing/>
              <w:jc w:val="both"/>
              <w:rPr>
                <w:lang w:eastAsia="lt-LT"/>
              </w:rPr>
            </w:pPr>
            <w:r w:rsidRPr="005F7764">
              <w:rPr>
                <w:lang w:eastAsia="lt-LT"/>
              </w:rPr>
              <w:t>Finansiniai ir materialiniai ištekliai panaudoti skaidriai, taupiai ir tikslingai, sprendimai derinti su Įstaigos bendruomene. Panaudojant valstybės, savivaldybės ir paramos lėšas atliktas skalbyklos atnaujinimas (300 Eur), atnaujinta kompiuterinė technika (520 Eur). Vaikų ugdymui ir kūrybiškumui lavinti edukacinės erdvės papildytos žaislais, ugdymo priemonėmis (645 Eur), į</w:t>
            </w:r>
            <w:r w:rsidRPr="005F7764">
              <w:t>sigyta gitara, muzikinis centras (280 Eur). P</w:t>
            </w:r>
            <w:r w:rsidRPr="005F7764">
              <w:rPr>
                <w:lang w:eastAsia="lt-LT"/>
              </w:rPr>
              <w:t>anaudojant savivaldybės ir paramos lėšas, įrengta Grass danga žaidimų aikštelėje (6500 Eur). Atnaujinta elektros instaliacija 2 grupėse, atliktas kosmetinis remontas (500 Eur), priešmokyklinėje grupėje išklotas laminatas (500 Eur). Atnaujinti virtuvės įrankiai (puodai, pjaustymo lentos  už 270 Eur), nupirktas šaldytuvas (294 Eur), kiemo priežiūrai įsigyta žoliapjovė (222 Eur), Įstaigos kokybiškam valymui įsigyti dulkių siurbliai: 1 plaunamas ir 2 paprasti (560 Eur), sutvarkyta lietaus vamzdynų sistema (850 Eur). Savivaldybės biudžeto lėšomis įrengta nauja tvora, atnaujinta gyvatvorė. 2021 m. į paramos lėšų sąskaitą gauta 1500 Eur. Įvykdžius šiuos pokyčius, pagerėjo Įstaigos įvaizdis, buvo vykdomas kokybiškesnis ugdymo procesas.</w:t>
            </w:r>
            <w:bookmarkStart w:id="2" w:name="_GoBack"/>
            <w:bookmarkEnd w:id="2"/>
          </w:p>
          <w:p w:rsidR="005F7764" w:rsidRPr="005F7764" w:rsidRDefault="005F7764" w:rsidP="005F7764">
            <w:pPr>
              <w:spacing w:line="256" w:lineRule="auto"/>
              <w:ind w:left="2" w:firstLine="568"/>
              <w:jc w:val="both"/>
            </w:pPr>
            <w:r w:rsidRPr="005F7764">
              <w:rPr>
                <w:rFonts w:eastAsia="Symbol"/>
                <w:lang w:eastAsia="zh-CN"/>
              </w:rPr>
              <w:t>2</w:t>
            </w:r>
            <w:r w:rsidRPr="005F7764">
              <w:t>021 m. Įstaigos finansinė situacija buvo tokia:</w:t>
            </w:r>
          </w:p>
          <w:tbl>
            <w:tblPr>
              <w:tblStyle w:val="Lentelstinklelis"/>
              <w:tblW w:w="0" w:type="auto"/>
              <w:tblLook w:val="04A0" w:firstRow="1" w:lastRow="0" w:firstColumn="1" w:lastColumn="0" w:noHBand="0" w:noVBand="1"/>
            </w:tblPr>
            <w:tblGrid>
              <w:gridCol w:w="1988"/>
              <w:gridCol w:w="1900"/>
              <w:gridCol w:w="1216"/>
              <w:gridCol w:w="1283"/>
              <w:gridCol w:w="3162"/>
            </w:tblGrid>
            <w:tr w:rsidR="005F7764" w:rsidRPr="005F7764" w:rsidTr="00D91784">
              <w:tc>
                <w:tcPr>
                  <w:tcW w:w="1988" w:type="dxa"/>
                  <w:vMerge w:val="restart"/>
                  <w:tcBorders>
                    <w:top w:val="single" w:sz="4" w:space="0" w:color="auto"/>
                    <w:left w:val="single" w:sz="4" w:space="0" w:color="auto"/>
                    <w:bottom w:val="single" w:sz="4" w:space="0" w:color="auto"/>
                    <w:right w:val="single" w:sz="4" w:space="0" w:color="auto"/>
                  </w:tcBorders>
                  <w:hideMark/>
                </w:tcPr>
                <w:p w:rsidR="005F7764" w:rsidRPr="005F7764" w:rsidRDefault="005F7764" w:rsidP="005F7764">
                  <w:pPr>
                    <w:jc w:val="center"/>
                  </w:pPr>
                  <w:r w:rsidRPr="005F7764">
                    <w:t>Finansavimo šaltinis</w:t>
                  </w:r>
                </w:p>
              </w:tc>
              <w:tc>
                <w:tcPr>
                  <w:tcW w:w="4399" w:type="dxa"/>
                  <w:gridSpan w:val="3"/>
                  <w:tcBorders>
                    <w:top w:val="single" w:sz="4" w:space="0" w:color="auto"/>
                    <w:left w:val="single" w:sz="4" w:space="0" w:color="auto"/>
                    <w:bottom w:val="single" w:sz="4" w:space="0" w:color="auto"/>
                    <w:right w:val="single" w:sz="4" w:space="0" w:color="auto"/>
                  </w:tcBorders>
                  <w:hideMark/>
                </w:tcPr>
                <w:p w:rsidR="005F7764" w:rsidRPr="005F7764" w:rsidRDefault="005F7764" w:rsidP="005F7764">
                  <w:pPr>
                    <w:jc w:val="center"/>
                  </w:pPr>
                  <w:r w:rsidRPr="005F7764">
                    <w:t>Lėšos (tūkst. eurų)</w:t>
                  </w:r>
                </w:p>
              </w:tc>
              <w:tc>
                <w:tcPr>
                  <w:tcW w:w="3162" w:type="dxa"/>
                  <w:vMerge w:val="restart"/>
                  <w:tcBorders>
                    <w:top w:val="single" w:sz="4" w:space="0" w:color="auto"/>
                    <w:left w:val="single" w:sz="4" w:space="0" w:color="auto"/>
                    <w:bottom w:val="single" w:sz="4" w:space="0" w:color="auto"/>
                    <w:right w:val="single" w:sz="4" w:space="0" w:color="auto"/>
                  </w:tcBorders>
                </w:tcPr>
                <w:p w:rsidR="005F7764" w:rsidRPr="005F7764" w:rsidRDefault="005F7764" w:rsidP="005F7764">
                  <w:pPr>
                    <w:jc w:val="both"/>
                  </w:pPr>
                  <w:r w:rsidRPr="005F7764">
                    <w:t>Pastabos</w:t>
                  </w:r>
                </w:p>
                <w:p w:rsidR="005F7764" w:rsidRPr="005F7764" w:rsidRDefault="005F7764" w:rsidP="005F7764">
                  <w:pPr>
                    <w:jc w:val="center"/>
                  </w:pPr>
                </w:p>
              </w:tc>
            </w:tr>
            <w:tr w:rsidR="005F7764" w:rsidRPr="005F7764" w:rsidTr="00D91784">
              <w:tc>
                <w:tcPr>
                  <w:tcW w:w="1988" w:type="dxa"/>
                  <w:vMerge/>
                  <w:tcBorders>
                    <w:top w:val="single" w:sz="4" w:space="0" w:color="auto"/>
                    <w:left w:val="single" w:sz="4" w:space="0" w:color="auto"/>
                    <w:bottom w:val="single" w:sz="4" w:space="0" w:color="auto"/>
                    <w:right w:val="single" w:sz="4" w:space="0" w:color="auto"/>
                  </w:tcBorders>
                  <w:vAlign w:val="center"/>
                  <w:hideMark/>
                </w:tcPr>
                <w:p w:rsidR="005F7764" w:rsidRPr="005F7764" w:rsidRDefault="005F7764" w:rsidP="005F7764"/>
              </w:tc>
              <w:tc>
                <w:tcPr>
                  <w:tcW w:w="1900"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Įvykdymas (proc.)</w:t>
                  </w:r>
                </w:p>
              </w:tc>
              <w:tc>
                <w:tcPr>
                  <w:tcW w:w="3162" w:type="dxa"/>
                  <w:vMerge/>
                  <w:tcBorders>
                    <w:top w:val="single" w:sz="4" w:space="0" w:color="auto"/>
                    <w:left w:val="single" w:sz="4" w:space="0" w:color="auto"/>
                    <w:bottom w:val="single" w:sz="4" w:space="0" w:color="auto"/>
                    <w:right w:val="single" w:sz="4" w:space="0" w:color="auto"/>
                  </w:tcBorders>
                  <w:vAlign w:val="center"/>
                  <w:hideMark/>
                </w:tcPr>
                <w:p w:rsidR="005F7764" w:rsidRPr="005F7764" w:rsidRDefault="005F7764" w:rsidP="005F7764"/>
              </w:tc>
            </w:tr>
            <w:tr w:rsidR="005F7764" w:rsidRPr="005F7764" w:rsidTr="00D91784">
              <w:trPr>
                <w:trHeight w:val="415"/>
              </w:trPr>
              <w:tc>
                <w:tcPr>
                  <w:tcW w:w="1988"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Savivaldybės biudžetas (SB)</w:t>
                  </w:r>
                </w:p>
              </w:tc>
              <w:tc>
                <w:tcPr>
                  <w:tcW w:w="1900"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319,900</w:t>
                  </w:r>
                </w:p>
              </w:tc>
              <w:tc>
                <w:tcPr>
                  <w:tcW w:w="1216"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318,444</w:t>
                  </w:r>
                </w:p>
              </w:tc>
              <w:tc>
                <w:tcPr>
                  <w:tcW w:w="1283"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99,54</w:t>
                  </w:r>
                </w:p>
              </w:tc>
              <w:tc>
                <w:tcPr>
                  <w:tcW w:w="3162" w:type="dxa"/>
                  <w:tcBorders>
                    <w:top w:val="single" w:sz="4" w:space="0" w:color="auto"/>
                    <w:left w:val="single" w:sz="4" w:space="0" w:color="auto"/>
                    <w:bottom w:val="single" w:sz="4" w:space="0" w:color="auto"/>
                    <w:right w:val="single" w:sz="4" w:space="0" w:color="auto"/>
                  </w:tcBorders>
                </w:tcPr>
                <w:p w:rsidR="005F7764" w:rsidRPr="005F7764" w:rsidRDefault="005F7764" w:rsidP="005F7764"/>
              </w:tc>
            </w:tr>
            <w:tr w:rsidR="005F7764" w:rsidRPr="005F7764" w:rsidTr="00D91784">
              <w:tc>
                <w:tcPr>
                  <w:tcW w:w="1988"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Specialioji tikslinė dotacija (VB)</w:t>
                  </w:r>
                </w:p>
              </w:tc>
              <w:tc>
                <w:tcPr>
                  <w:tcW w:w="1900"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171,300</w:t>
                  </w:r>
                </w:p>
              </w:tc>
              <w:tc>
                <w:tcPr>
                  <w:tcW w:w="1216"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171,138</w:t>
                  </w:r>
                </w:p>
              </w:tc>
              <w:tc>
                <w:tcPr>
                  <w:tcW w:w="1283"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99,91</w:t>
                  </w:r>
                </w:p>
              </w:tc>
              <w:tc>
                <w:tcPr>
                  <w:tcW w:w="3162" w:type="dxa"/>
                  <w:tcBorders>
                    <w:top w:val="single" w:sz="4" w:space="0" w:color="auto"/>
                    <w:left w:val="single" w:sz="4" w:space="0" w:color="auto"/>
                    <w:bottom w:val="single" w:sz="4" w:space="0" w:color="auto"/>
                    <w:right w:val="single" w:sz="4" w:space="0" w:color="auto"/>
                  </w:tcBorders>
                </w:tcPr>
                <w:p w:rsidR="005F7764" w:rsidRPr="005F7764" w:rsidRDefault="005F7764" w:rsidP="005F7764"/>
              </w:tc>
            </w:tr>
            <w:tr w:rsidR="005F7764" w:rsidRPr="005F7764" w:rsidTr="00D91784">
              <w:tc>
                <w:tcPr>
                  <w:tcW w:w="1988"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Įstaigos gautos pajamos (surinkta pajamų SP), iš jų:</w:t>
                  </w:r>
                </w:p>
              </w:tc>
              <w:tc>
                <w:tcPr>
                  <w:tcW w:w="1900"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52,800</w:t>
                  </w:r>
                </w:p>
              </w:tc>
              <w:tc>
                <w:tcPr>
                  <w:tcW w:w="1216"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46,434</w:t>
                  </w:r>
                </w:p>
              </w:tc>
              <w:tc>
                <w:tcPr>
                  <w:tcW w:w="1283"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87,94</w:t>
                  </w:r>
                </w:p>
              </w:tc>
              <w:tc>
                <w:tcPr>
                  <w:tcW w:w="3162" w:type="dxa"/>
                  <w:tcBorders>
                    <w:top w:val="single" w:sz="4" w:space="0" w:color="auto"/>
                    <w:left w:val="single" w:sz="4" w:space="0" w:color="auto"/>
                    <w:bottom w:val="single" w:sz="4" w:space="0" w:color="auto"/>
                    <w:right w:val="single" w:sz="4" w:space="0" w:color="auto"/>
                  </w:tcBorders>
                  <w:hideMark/>
                </w:tcPr>
                <w:p w:rsidR="005F7764" w:rsidRPr="005F7764" w:rsidRDefault="005F7764" w:rsidP="00397E31">
                  <w:pPr>
                    <w:jc w:val="both"/>
                  </w:pPr>
                  <w:r w:rsidRPr="005F7764">
                    <w:t>Dėl šalyje susidariusios epidemiologinės situacijos pajamų planas nebuvo įvykdytas</w:t>
                  </w:r>
                </w:p>
              </w:tc>
            </w:tr>
            <w:tr w:rsidR="005F7764" w:rsidRPr="005F7764" w:rsidTr="00D91784">
              <w:trPr>
                <w:trHeight w:val="477"/>
              </w:trPr>
              <w:tc>
                <w:tcPr>
                  <w:tcW w:w="1988"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Pajamų išlaidos (SP)</w:t>
                  </w:r>
                </w:p>
              </w:tc>
              <w:tc>
                <w:tcPr>
                  <w:tcW w:w="1900"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52,800</w:t>
                  </w:r>
                </w:p>
              </w:tc>
              <w:tc>
                <w:tcPr>
                  <w:tcW w:w="1216"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42,374</w:t>
                  </w:r>
                </w:p>
              </w:tc>
              <w:tc>
                <w:tcPr>
                  <w:tcW w:w="1283"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80,25</w:t>
                  </w:r>
                </w:p>
              </w:tc>
              <w:tc>
                <w:tcPr>
                  <w:tcW w:w="3162" w:type="dxa"/>
                  <w:tcBorders>
                    <w:top w:val="single" w:sz="4" w:space="0" w:color="auto"/>
                    <w:left w:val="single" w:sz="4" w:space="0" w:color="auto"/>
                    <w:bottom w:val="single" w:sz="4" w:space="0" w:color="auto"/>
                    <w:right w:val="single" w:sz="4" w:space="0" w:color="auto"/>
                  </w:tcBorders>
                  <w:hideMark/>
                </w:tcPr>
                <w:p w:rsidR="005F7764" w:rsidRPr="005F7764" w:rsidRDefault="005F7764" w:rsidP="00397E31">
                  <w:pPr>
                    <w:jc w:val="both"/>
                  </w:pPr>
                  <w:r w:rsidRPr="005F7764">
                    <w:t>Dėl sumažėjusio vaikų lankomumo išlaidos (SP) buvo mažesnės nei planuotos</w:t>
                  </w:r>
                </w:p>
              </w:tc>
            </w:tr>
            <w:tr w:rsidR="005F7764" w:rsidRPr="005F7764" w:rsidTr="00D91784">
              <w:trPr>
                <w:trHeight w:val="125"/>
              </w:trPr>
              <w:tc>
                <w:tcPr>
                  <w:tcW w:w="1988"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Projektų finansavimas (ES; VB; SB)</w:t>
                  </w:r>
                </w:p>
              </w:tc>
              <w:tc>
                <w:tcPr>
                  <w:tcW w:w="1900"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w:t>
                  </w:r>
                </w:p>
              </w:tc>
              <w:tc>
                <w:tcPr>
                  <w:tcW w:w="1216"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w:t>
                  </w:r>
                </w:p>
              </w:tc>
              <w:tc>
                <w:tcPr>
                  <w:tcW w:w="1283"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w:t>
                  </w:r>
                </w:p>
              </w:tc>
              <w:tc>
                <w:tcPr>
                  <w:tcW w:w="3162" w:type="dxa"/>
                  <w:tcBorders>
                    <w:top w:val="single" w:sz="4" w:space="0" w:color="auto"/>
                    <w:left w:val="single" w:sz="4" w:space="0" w:color="auto"/>
                    <w:bottom w:val="single" w:sz="4" w:space="0" w:color="auto"/>
                    <w:right w:val="single" w:sz="4" w:space="0" w:color="auto"/>
                  </w:tcBorders>
                </w:tcPr>
                <w:p w:rsidR="005F7764" w:rsidRPr="005F7764" w:rsidRDefault="005F7764" w:rsidP="005F7764"/>
              </w:tc>
            </w:tr>
            <w:tr w:rsidR="005F7764" w:rsidRPr="005F7764" w:rsidTr="00D91784">
              <w:tc>
                <w:tcPr>
                  <w:tcW w:w="1988"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 xml:space="preserve">Kitos lėšos </w:t>
                  </w:r>
                  <w:r w:rsidRPr="005F7764">
                    <w:lastRenderedPageBreak/>
                    <w:t>(parama 1,2 proc. GPM ir kt.)</w:t>
                  </w:r>
                </w:p>
              </w:tc>
              <w:tc>
                <w:tcPr>
                  <w:tcW w:w="1900"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lastRenderedPageBreak/>
                    <w:t>3,800</w:t>
                  </w:r>
                </w:p>
              </w:tc>
              <w:tc>
                <w:tcPr>
                  <w:tcW w:w="1216"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0,846</w:t>
                  </w:r>
                </w:p>
              </w:tc>
              <w:tc>
                <w:tcPr>
                  <w:tcW w:w="1283"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22,26</w:t>
                  </w:r>
                </w:p>
              </w:tc>
              <w:tc>
                <w:tcPr>
                  <w:tcW w:w="3162" w:type="dxa"/>
                  <w:tcBorders>
                    <w:top w:val="single" w:sz="4" w:space="0" w:color="auto"/>
                    <w:left w:val="single" w:sz="4" w:space="0" w:color="auto"/>
                    <w:bottom w:val="single" w:sz="4" w:space="0" w:color="auto"/>
                    <w:right w:val="single" w:sz="4" w:space="0" w:color="auto"/>
                  </w:tcBorders>
                  <w:hideMark/>
                </w:tcPr>
                <w:p w:rsidR="005F7764" w:rsidRPr="005F7764" w:rsidRDefault="005F7764" w:rsidP="00397E31">
                  <w:pPr>
                    <w:jc w:val="both"/>
                  </w:pPr>
                  <w:r w:rsidRPr="005F7764">
                    <w:t>Paramos lėšų panaudojimas</w:t>
                  </w:r>
                  <w:r w:rsidRPr="005F7764">
                    <w:rPr>
                      <w:strike/>
                    </w:rPr>
                    <w:t xml:space="preserve"> </w:t>
                  </w:r>
                  <w:r w:rsidRPr="005F7764">
                    <w:lastRenderedPageBreak/>
                    <w:t>suplanuotas iki 2022 m. birželio 1 d.</w:t>
                  </w:r>
                </w:p>
              </w:tc>
            </w:tr>
            <w:tr w:rsidR="005F7764" w:rsidRPr="005F7764" w:rsidTr="00D91784">
              <w:tc>
                <w:tcPr>
                  <w:tcW w:w="5104" w:type="dxa"/>
                  <w:gridSpan w:val="3"/>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lastRenderedPageBreak/>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hideMark/>
                </w:tcPr>
                <w:p w:rsidR="005F7764" w:rsidRPr="005F7764" w:rsidRDefault="005F7764" w:rsidP="005F7764">
                  <w:r w:rsidRPr="005F7764">
                    <w:t>0,409</w:t>
                  </w:r>
                </w:p>
              </w:tc>
              <w:tc>
                <w:tcPr>
                  <w:tcW w:w="3162" w:type="dxa"/>
                  <w:tcBorders>
                    <w:top w:val="single" w:sz="4" w:space="0" w:color="auto"/>
                    <w:left w:val="single" w:sz="4" w:space="0" w:color="auto"/>
                    <w:bottom w:val="single" w:sz="4" w:space="0" w:color="auto"/>
                    <w:right w:val="single" w:sz="4" w:space="0" w:color="auto"/>
                  </w:tcBorders>
                  <w:hideMark/>
                </w:tcPr>
                <w:p w:rsidR="005F7764" w:rsidRPr="005F7764" w:rsidRDefault="005F7764" w:rsidP="00397E31">
                  <w:pPr>
                    <w:jc w:val="both"/>
                  </w:pPr>
                  <w:r w:rsidRPr="005F7764">
                    <w:t>Kreditorinį įsiskolinimą sudaro neapmokėtos sąskaitos už mitybą, nes, buhalteriniams metams pasibaigus gruodžio 28 d., vaikai į Įstaigą dar ėjo 3 dienas ir maistas buvo užsakomas</w:t>
                  </w:r>
                </w:p>
              </w:tc>
            </w:tr>
          </w:tbl>
          <w:p w:rsidR="005F7764" w:rsidRPr="005F7764" w:rsidRDefault="005F7764" w:rsidP="005F7764">
            <w:pPr>
              <w:spacing w:line="256" w:lineRule="auto"/>
              <w:ind w:firstLine="567"/>
              <w:jc w:val="both"/>
            </w:pPr>
          </w:p>
          <w:p w:rsidR="005F7764" w:rsidRPr="005F7764" w:rsidRDefault="005F7764" w:rsidP="00397E31">
            <w:pPr>
              <w:ind w:firstLine="570"/>
              <w:jc w:val="both"/>
              <w:rPr>
                <w:rFonts w:eastAsia="Symbol"/>
                <w:lang w:eastAsia="zh-CN"/>
              </w:rPr>
            </w:pPr>
            <w:r w:rsidRPr="005F7764">
              <w:rPr>
                <w:szCs w:val="20"/>
              </w:rPr>
              <w:t>2021 m. Įstaigoje liko neišspręstos tokios vidaus ir išorės faktorių sąlygotos problemos:</w:t>
            </w:r>
            <w:r w:rsidRPr="005F7764">
              <w:rPr>
                <w:rFonts w:eastAsia="Symbol"/>
                <w:lang w:eastAsia="lt-LT"/>
              </w:rPr>
              <w:t xml:space="preserve"> </w:t>
            </w:r>
            <w:r w:rsidRPr="005F7764">
              <w:rPr>
                <w:rFonts w:eastAsia="Symbol"/>
                <w:lang w:eastAsia="zh-CN"/>
              </w:rPr>
              <w:t xml:space="preserve">prastėjanti pastato išorės būklė, susidėvėjusi Įstaigos vidaus grindų danga; nepakeista pavojų kelianti elektros instaliacija; susidėvėjusi asfaltbetonio danga. Įstaigos renovacijos projektas parengtas 2019 m., Įstaigos renovacija buvo numatyta 2021 m., perkelta į 2024 m. </w:t>
            </w:r>
          </w:p>
          <w:p w:rsidR="005F7764" w:rsidRPr="005F7764" w:rsidRDefault="005F7764" w:rsidP="00397E31">
            <w:pPr>
              <w:ind w:firstLine="570"/>
              <w:jc w:val="both"/>
              <w:rPr>
                <w:lang w:eastAsia="lt-LT"/>
              </w:rPr>
            </w:pPr>
            <w:r w:rsidRPr="005F7764">
              <w:t>Planuodama 2022 m. veiklą, Įstaigos bendruomenė susitarė dėl tokių veiklos prioritetų: darnios, sveikos, saugios, etnokultūrines tradicijas turinčios ir besikeičiančios visuomenės ugdymo(si) reikalavimus atliepiančios aplinkos kūrimas</w:t>
            </w:r>
            <w:r w:rsidR="006636C0">
              <w:t>.</w:t>
            </w:r>
          </w:p>
        </w:tc>
      </w:tr>
    </w:tbl>
    <w:p w:rsidR="005F7764" w:rsidRPr="00397E31" w:rsidRDefault="005F7764" w:rsidP="00397E31">
      <w:pPr>
        <w:rPr>
          <w:lang w:eastAsia="lt-LT"/>
        </w:rPr>
      </w:pPr>
    </w:p>
    <w:p w:rsidR="005F7764" w:rsidRDefault="005F7764" w:rsidP="00211ADD">
      <w:pPr>
        <w:jc w:val="both"/>
      </w:pPr>
    </w:p>
    <w:p w:rsidR="005F7764" w:rsidRPr="005F7764" w:rsidRDefault="005F7764" w:rsidP="005F7764">
      <w:pPr>
        <w:tabs>
          <w:tab w:val="left" w:pos="3828"/>
          <w:tab w:val="left" w:pos="7230"/>
        </w:tabs>
        <w:jc w:val="both"/>
        <w:rPr>
          <w:lang w:eastAsia="lt-LT"/>
        </w:rPr>
      </w:pPr>
      <w:r w:rsidRPr="005F7764">
        <w:rPr>
          <w:lang w:eastAsia="lt-LT"/>
        </w:rPr>
        <w:t>Direktorė</w:t>
      </w:r>
      <w:r>
        <w:rPr>
          <w:lang w:eastAsia="lt-LT"/>
        </w:rPr>
        <w:tab/>
      </w:r>
      <w:r>
        <w:rPr>
          <w:lang w:eastAsia="lt-LT"/>
        </w:rPr>
        <w:tab/>
      </w:r>
      <w:r>
        <w:rPr>
          <w:lang w:eastAsia="lt-LT"/>
        </w:rPr>
        <w:tab/>
      </w:r>
      <w:r w:rsidR="00FD6C81">
        <w:rPr>
          <w:lang w:eastAsia="lt-LT"/>
        </w:rPr>
        <w:t xml:space="preserve">       </w:t>
      </w:r>
      <w:r w:rsidRPr="005F7764">
        <w:rPr>
          <w:lang w:eastAsia="lt-LT"/>
        </w:rPr>
        <w:t>Laura Šeske</w:t>
      </w:r>
    </w:p>
    <w:p w:rsidR="00D57F27" w:rsidRPr="005F7764" w:rsidRDefault="00D57F27" w:rsidP="005F7764"/>
    <w:sectPr w:rsidR="00D57F27" w:rsidRPr="005F7764" w:rsidSect="00190389">
      <w:headerReference w:type="default" r:id="rId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91784">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94DDD"/>
    <w:multiLevelType w:val="hybridMultilevel"/>
    <w:tmpl w:val="20522BE2"/>
    <w:lvl w:ilvl="0" w:tplc="EA569554">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23A1E"/>
    <w:rsid w:val="0006079E"/>
    <w:rsid w:val="000A4357"/>
    <w:rsid w:val="00190389"/>
    <w:rsid w:val="0019615E"/>
    <w:rsid w:val="00211ADD"/>
    <w:rsid w:val="0034183E"/>
    <w:rsid w:val="00397E31"/>
    <w:rsid w:val="004476DD"/>
    <w:rsid w:val="00597EE8"/>
    <w:rsid w:val="005B434A"/>
    <w:rsid w:val="005F495C"/>
    <w:rsid w:val="005F7764"/>
    <w:rsid w:val="006636C0"/>
    <w:rsid w:val="00832CC9"/>
    <w:rsid w:val="008354D5"/>
    <w:rsid w:val="008E6E82"/>
    <w:rsid w:val="00964E11"/>
    <w:rsid w:val="00AF7D08"/>
    <w:rsid w:val="00B750B6"/>
    <w:rsid w:val="00C57681"/>
    <w:rsid w:val="00CA4D3B"/>
    <w:rsid w:val="00D42B72"/>
    <w:rsid w:val="00D57F27"/>
    <w:rsid w:val="00D91784"/>
    <w:rsid w:val="00E33871"/>
    <w:rsid w:val="00E56A73"/>
    <w:rsid w:val="00E95A20"/>
    <w:rsid w:val="00F1275A"/>
    <w:rsid w:val="00F72A1E"/>
    <w:rsid w:val="00FD6C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FD298"/>
  <w15:docId w15:val="{62CDE82C-0007-46DD-B57A-94C957DEA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7992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4905</Words>
  <Characters>2797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7</cp:revision>
  <dcterms:created xsi:type="dcterms:W3CDTF">2022-02-24T06:16:00Z</dcterms:created>
  <dcterms:modified xsi:type="dcterms:W3CDTF">2022-03-02T08:18:00Z</dcterms:modified>
</cp:coreProperties>
</file>